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70" w:type="dxa"/>
        <w:shd w:val="clear" w:color="auto" w:fill="FFFFFF"/>
        <w:tblCellMar>
          <w:top w:w="15" w:type="dxa"/>
          <w:left w:w="15" w:type="dxa"/>
          <w:bottom w:w="15" w:type="dxa"/>
          <w:right w:w="15" w:type="dxa"/>
        </w:tblCellMar>
        <w:tblLook w:val="04A0" w:firstRow="1" w:lastRow="0" w:firstColumn="1" w:lastColumn="0" w:noHBand="0" w:noVBand="1"/>
      </w:tblPr>
      <w:tblGrid>
        <w:gridCol w:w="1720"/>
        <w:gridCol w:w="5957"/>
        <w:gridCol w:w="2893"/>
      </w:tblGrid>
      <w:tr w:rsidR="007F5369" w:rsidRPr="00307448" w14:paraId="447E10DB" w14:textId="77777777" w:rsidTr="007F5369">
        <w:trPr>
          <w:trHeight w:val="1080"/>
        </w:trPr>
        <w:tc>
          <w:tcPr>
            <w:tcW w:w="1736" w:type="dxa"/>
            <w:tcBorders>
              <w:top w:val="single" w:sz="4" w:space="0" w:color="auto"/>
              <w:left w:val="single" w:sz="4" w:space="0" w:color="auto"/>
              <w:bottom w:val="single" w:sz="4" w:space="0" w:color="auto"/>
              <w:right w:val="single" w:sz="4" w:space="0" w:color="auto"/>
            </w:tcBorders>
            <w:shd w:val="clear" w:color="auto" w:fill="FFFFFF"/>
            <w:tcMar>
              <w:top w:w="225" w:type="dxa"/>
              <w:left w:w="225" w:type="dxa"/>
              <w:bottom w:w="225" w:type="dxa"/>
              <w:right w:w="225" w:type="dxa"/>
            </w:tcMar>
            <w:hideMark/>
          </w:tcPr>
          <w:p w14:paraId="3BD59238" w14:textId="77777777" w:rsidR="007F5369" w:rsidRPr="00307448" w:rsidRDefault="007F5369" w:rsidP="007F5369">
            <w:pPr>
              <w:spacing w:after="225" w:line="240" w:lineRule="auto"/>
              <w:rPr>
                <w:rFonts w:ascii="Segoe UI" w:eastAsia="Times New Roman" w:hAnsi="Segoe UI" w:cs="Segoe UI"/>
                <w:kern w:val="0"/>
                <w:sz w:val="22"/>
                <w:szCs w:val="22"/>
                <w:lang w:eastAsia="en-ZA"/>
                <w14:ligatures w14:val="none"/>
              </w:rPr>
            </w:pPr>
            <w:bookmarkStart w:id="0" w:name="_GoBack"/>
            <w:bookmarkEnd w:id="0"/>
            <w:r w:rsidRPr="00307448">
              <w:rPr>
                <w:rFonts w:ascii="Segoe UI" w:eastAsia="Times New Roman" w:hAnsi="Segoe UI" w:cs="Segoe UI"/>
                <w:kern w:val="0"/>
                <w:sz w:val="22"/>
                <w:szCs w:val="22"/>
                <w:lang w:eastAsia="en-ZA"/>
                <w14:ligatures w14:val="none"/>
              </w:rPr>
              <w:t>GG and Notice Numbers</w:t>
            </w:r>
          </w:p>
        </w:tc>
        <w:tc>
          <w:tcPr>
            <w:tcW w:w="6087" w:type="dxa"/>
            <w:tcBorders>
              <w:top w:val="single" w:sz="4" w:space="0" w:color="auto"/>
              <w:left w:val="single" w:sz="4" w:space="0" w:color="auto"/>
              <w:bottom w:val="single" w:sz="4" w:space="0" w:color="auto"/>
              <w:right w:val="single" w:sz="4" w:space="0" w:color="auto"/>
            </w:tcBorders>
            <w:shd w:val="clear" w:color="auto" w:fill="FFFFFF"/>
            <w:tcMar>
              <w:top w:w="225" w:type="dxa"/>
              <w:left w:w="225" w:type="dxa"/>
              <w:bottom w:w="225" w:type="dxa"/>
              <w:right w:w="225" w:type="dxa"/>
            </w:tcMar>
            <w:hideMark/>
          </w:tcPr>
          <w:p w14:paraId="0B5746C3" w14:textId="77777777" w:rsidR="007F5369" w:rsidRPr="00307448" w:rsidRDefault="007F5369" w:rsidP="007F5369">
            <w:pPr>
              <w:spacing w:after="225"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Description</w:t>
            </w:r>
          </w:p>
        </w:tc>
        <w:tc>
          <w:tcPr>
            <w:tcW w:w="2747" w:type="dxa"/>
            <w:tcBorders>
              <w:top w:val="single" w:sz="4" w:space="0" w:color="auto"/>
              <w:left w:val="single" w:sz="4" w:space="0" w:color="auto"/>
              <w:bottom w:val="single" w:sz="4" w:space="0" w:color="auto"/>
              <w:right w:val="single" w:sz="4" w:space="0" w:color="auto"/>
            </w:tcBorders>
            <w:shd w:val="clear" w:color="auto" w:fill="FFFFFF"/>
            <w:tcMar>
              <w:top w:w="225" w:type="dxa"/>
              <w:left w:w="225" w:type="dxa"/>
              <w:bottom w:w="225" w:type="dxa"/>
              <w:right w:w="225" w:type="dxa"/>
            </w:tcMar>
            <w:hideMark/>
          </w:tcPr>
          <w:p w14:paraId="2E426734" w14:textId="1059CD28" w:rsidR="007F5369" w:rsidRPr="00307448" w:rsidRDefault="007F5369" w:rsidP="007F5369">
            <w:pPr>
              <w:spacing w:after="225"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Implementation</w:t>
            </w:r>
            <w:r w:rsidR="000F03CF">
              <w:rPr>
                <w:rFonts w:ascii="Segoe UI" w:eastAsia="Times New Roman" w:hAnsi="Segoe UI" w:cs="Segoe UI"/>
                <w:kern w:val="0"/>
                <w:sz w:val="22"/>
                <w:szCs w:val="22"/>
                <w:lang w:eastAsia="en-ZA"/>
                <w14:ligatures w14:val="none"/>
              </w:rPr>
              <w:t xml:space="preserve">/Effective </w:t>
            </w:r>
            <w:r w:rsidRPr="00307448">
              <w:rPr>
                <w:rFonts w:ascii="Segoe UI" w:eastAsia="Times New Roman" w:hAnsi="Segoe UI" w:cs="Segoe UI"/>
                <w:kern w:val="0"/>
                <w:sz w:val="22"/>
                <w:szCs w:val="22"/>
                <w:lang w:eastAsia="en-ZA"/>
                <w14:ligatures w14:val="none"/>
              </w:rPr>
              <w:t xml:space="preserve"> Date</w:t>
            </w:r>
          </w:p>
        </w:tc>
      </w:tr>
      <w:tr w:rsidR="007F5369" w:rsidRPr="00307448" w14:paraId="2F48C3D3" w14:textId="77777777" w:rsidTr="007F5369">
        <w:tc>
          <w:tcPr>
            <w:tcW w:w="1736" w:type="dxa"/>
            <w:tcBorders>
              <w:top w:val="single" w:sz="4" w:space="0" w:color="auto"/>
              <w:left w:val="single" w:sz="4" w:space="0" w:color="auto"/>
              <w:bottom w:val="single" w:sz="4" w:space="0" w:color="auto"/>
              <w:right w:val="single" w:sz="4" w:space="0" w:color="auto"/>
            </w:tcBorders>
            <w:shd w:val="clear" w:color="auto" w:fill="F7F7F7"/>
            <w:tcMar>
              <w:top w:w="225" w:type="dxa"/>
              <w:left w:w="225" w:type="dxa"/>
              <w:bottom w:w="225" w:type="dxa"/>
              <w:right w:w="225" w:type="dxa"/>
            </w:tcMar>
            <w:hideMark/>
          </w:tcPr>
          <w:p w14:paraId="08112A10"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53629</w:t>
            </w:r>
            <w:r w:rsidRPr="00307448">
              <w:rPr>
                <w:rFonts w:ascii="Segoe UI" w:eastAsia="Times New Roman" w:hAnsi="Segoe UI" w:cs="Segoe UI"/>
                <w:kern w:val="0"/>
                <w:sz w:val="22"/>
                <w:szCs w:val="22"/>
                <w:lang w:eastAsia="en-ZA"/>
                <w14:ligatures w14:val="none"/>
              </w:rPr>
              <w:br/>
              <w:t>R.6796</w:t>
            </w:r>
          </w:p>
        </w:tc>
        <w:tc>
          <w:tcPr>
            <w:tcW w:w="6087" w:type="dxa"/>
            <w:tcBorders>
              <w:top w:val="single" w:sz="4" w:space="0" w:color="auto"/>
              <w:left w:val="single" w:sz="4" w:space="0" w:color="auto"/>
              <w:bottom w:val="single" w:sz="4" w:space="0" w:color="auto"/>
              <w:right w:val="single" w:sz="4" w:space="0" w:color="auto"/>
            </w:tcBorders>
            <w:shd w:val="clear" w:color="auto" w:fill="F7F7F7"/>
            <w:tcMar>
              <w:top w:w="225" w:type="dxa"/>
              <w:left w:w="225" w:type="dxa"/>
              <w:bottom w:w="225" w:type="dxa"/>
              <w:right w:w="225" w:type="dxa"/>
            </w:tcMar>
            <w:hideMark/>
          </w:tcPr>
          <w:p w14:paraId="1587554C"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2A of Schedule No. 1, as a consequence to the amendment in Part 1 Schedule No. 1, to provide for technical amendments published on 3 October 2025 in </w:t>
            </w:r>
            <w:r w:rsidRPr="00307448">
              <w:rPr>
                <w:rFonts w:ascii="Segoe UI" w:eastAsia="Times New Roman" w:hAnsi="Segoe UI" w:cs="Segoe UI"/>
                <w:i/>
                <w:iCs/>
                <w:kern w:val="0"/>
                <w:sz w:val="22"/>
                <w:szCs w:val="22"/>
                <w:lang w:eastAsia="en-ZA"/>
                <w14:ligatures w14:val="none"/>
              </w:rPr>
              <w:t>Government Gazette</w:t>
            </w:r>
            <w:r w:rsidRPr="00307448">
              <w:rPr>
                <w:rFonts w:ascii="Segoe UI" w:eastAsia="Times New Roman" w:hAnsi="Segoe UI" w:cs="Segoe UI"/>
                <w:kern w:val="0"/>
                <w:sz w:val="22"/>
                <w:szCs w:val="22"/>
                <w:lang w:eastAsia="en-ZA"/>
                <w14:ligatures w14:val="none"/>
              </w:rPr>
              <w:t> No. 53461</w:t>
            </w:r>
          </w:p>
          <w:p w14:paraId="03E001E8" w14:textId="77777777" w:rsidR="007F5369" w:rsidRPr="00307448" w:rsidRDefault="008F4BCD" w:rsidP="007F5369">
            <w:pPr>
              <w:numPr>
                <w:ilvl w:val="0"/>
                <w:numId w:val="16"/>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7" w:history="1">
              <w:r w:rsidR="007F5369" w:rsidRPr="00307448">
                <w:rPr>
                  <w:rFonts w:ascii="Segoe UI" w:eastAsia="Times New Roman" w:hAnsi="Segoe UI" w:cs="Segoe UI"/>
                  <w:kern w:val="0"/>
                  <w:sz w:val="22"/>
                  <w:szCs w:val="22"/>
                  <w:u w:val="single"/>
                  <w:lang w:eastAsia="en-ZA"/>
                  <w14:ligatures w14:val="none"/>
                </w:rPr>
                <w:t>Notice R.6796</w:t>
              </w:r>
            </w:hyperlink>
          </w:p>
        </w:tc>
        <w:tc>
          <w:tcPr>
            <w:tcW w:w="2747" w:type="dxa"/>
            <w:tcBorders>
              <w:top w:val="single" w:sz="4" w:space="0" w:color="auto"/>
              <w:left w:val="single" w:sz="4" w:space="0" w:color="auto"/>
              <w:bottom w:val="single" w:sz="4" w:space="0" w:color="auto"/>
              <w:right w:val="single" w:sz="4" w:space="0" w:color="auto"/>
            </w:tcBorders>
            <w:shd w:val="clear" w:color="auto" w:fill="F7F7F7"/>
            <w:tcMar>
              <w:top w:w="225" w:type="dxa"/>
              <w:left w:w="225" w:type="dxa"/>
              <w:bottom w:w="225" w:type="dxa"/>
              <w:right w:w="225" w:type="dxa"/>
            </w:tcMar>
            <w:hideMark/>
          </w:tcPr>
          <w:p w14:paraId="43B5C4B9"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1 January 2026</w:t>
            </w:r>
          </w:p>
        </w:tc>
      </w:tr>
      <w:tr w:rsidR="007F5369" w:rsidRPr="00307448" w14:paraId="3867F1DA" w14:textId="77777777" w:rsidTr="007F5369">
        <w:tc>
          <w:tcPr>
            <w:tcW w:w="1736" w:type="dxa"/>
            <w:tcBorders>
              <w:top w:val="single" w:sz="4" w:space="0" w:color="auto"/>
              <w:left w:val="single" w:sz="4" w:space="0" w:color="auto"/>
              <w:bottom w:val="single" w:sz="6" w:space="0" w:color="CCCCCC"/>
              <w:right w:val="single" w:sz="4" w:space="0" w:color="auto"/>
            </w:tcBorders>
            <w:shd w:val="clear" w:color="auto" w:fill="FFFFFF"/>
            <w:tcMar>
              <w:top w:w="225" w:type="dxa"/>
              <w:left w:w="225" w:type="dxa"/>
              <w:bottom w:w="225" w:type="dxa"/>
              <w:right w:w="225" w:type="dxa"/>
            </w:tcMar>
            <w:hideMark/>
          </w:tcPr>
          <w:p w14:paraId="690CE7FF"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53629</w:t>
            </w:r>
            <w:r w:rsidRPr="00307448">
              <w:rPr>
                <w:rFonts w:ascii="Segoe UI" w:eastAsia="Times New Roman" w:hAnsi="Segoe UI" w:cs="Segoe UI"/>
                <w:kern w:val="0"/>
                <w:sz w:val="22"/>
                <w:szCs w:val="22"/>
                <w:lang w:eastAsia="en-ZA"/>
                <w14:ligatures w14:val="none"/>
              </w:rPr>
              <w:br/>
              <w:t>R.6797</w:t>
            </w:r>
          </w:p>
        </w:tc>
        <w:tc>
          <w:tcPr>
            <w:tcW w:w="6087" w:type="dxa"/>
            <w:tcBorders>
              <w:top w:val="single" w:sz="4" w:space="0" w:color="auto"/>
              <w:left w:val="single" w:sz="4" w:space="0" w:color="auto"/>
              <w:bottom w:val="single" w:sz="6" w:space="0" w:color="CCCCCC"/>
              <w:right w:val="single" w:sz="4" w:space="0" w:color="auto"/>
            </w:tcBorders>
            <w:shd w:val="clear" w:color="auto" w:fill="FFFFFF"/>
            <w:tcMar>
              <w:top w:w="225" w:type="dxa"/>
              <w:left w:w="225" w:type="dxa"/>
              <w:bottom w:w="225" w:type="dxa"/>
              <w:right w:w="225" w:type="dxa"/>
            </w:tcMar>
            <w:hideMark/>
          </w:tcPr>
          <w:p w14:paraId="2F2D061E"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3 of Schedule No. 2, by the substitution of various items under item 260.03, in order to list the rebate items intended to be excluded from the safeguard duty of a rate of 13% on certain hot-rolled steel products, classifiable under Chapter 72 (ITAC Minute M02/2025)</w:t>
            </w:r>
          </w:p>
          <w:p w14:paraId="6D5076A0" w14:textId="77777777" w:rsidR="007F5369" w:rsidRPr="00307448" w:rsidRDefault="008F4BCD" w:rsidP="007F5369">
            <w:pPr>
              <w:numPr>
                <w:ilvl w:val="0"/>
                <w:numId w:val="17"/>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8" w:history="1">
              <w:r w:rsidR="007F5369" w:rsidRPr="00307448">
                <w:rPr>
                  <w:rFonts w:ascii="Segoe UI" w:eastAsia="Times New Roman" w:hAnsi="Segoe UI" w:cs="Segoe UI"/>
                  <w:kern w:val="0"/>
                  <w:sz w:val="22"/>
                  <w:szCs w:val="22"/>
                  <w:u w:val="single"/>
                  <w:lang w:eastAsia="en-ZA"/>
                  <w14:ligatures w14:val="none"/>
                </w:rPr>
                <w:t>Notice R.6797</w:t>
              </w:r>
            </w:hyperlink>
          </w:p>
        </w:tc>
        <w:tc>
          <w:tcPr>
            <w:tcW w:w="2747" w:type="dxa"/>
            <w:tcBorders>
              <w:top w:val="single" w:sz="4" w:space="0" w:color="auto"/>
              <w:left w:val="single" w:sz="4" w:space="0" w:color="auto"/>
              <w:bottom w:val="single" w:sz="6" w:space="0" w:color="CCCCCC"/>
              <w:right w:val="single" w:sz="4" w:space="0" w:color="auto"/>
            </w:tcBorders>
            <w:shd w:val="clear" w:color="auto" w:fill="FFFFFF"/>
            <w:tcMar>
              <w:top w:w="225" w:type="dxa"/>
              <w:left w:w="225" w:type="dxa"/>
              <w:bottom w:w="225" w:type="dxa"/>
              <w:right w:w="225" w:type="dxa"/>
            </w:tcMar>
            <w:hideMark/>
          </w:tcPr>
          <w:p w14:paraId="42E3CE23"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Up to and including 1 May 2026</w:t>
            </w:r>
          </w:p>
        </w:tc>
      </w:tr>
      <w:tr w:rsidR="007F5369" w:rsidRPr="00307448" w14:paraId="5F269AC7" w14:textId="77777777" w:rsidTr="007F5369">
        <w:tc>
          <w:tcPr>
            <w:tcW w:w="1736" w:type="dxa"/>
            <w:tcBorders>
              <w:top w:val="single" w:sz="6" w:space="0" w:color="CCCCCC"/>
              <w:left w:val="single" w:sz="4" w:space="0" w:color="auto"/>
              <w:bottom w:val="single" w:sz="6" w:space="0" w:color="CCCCCC"/>
              <w:right w:val="single" w:sz="4" w:space="0" w:color="auto"/>
            </w:tcBorders>
            <w:shd w:val="clear" w:color="auto" w:fill="F7F7F7"/>
            <w:tcMar>
              <w:top w:w="225" w:type="dxa"/>
              <w:left w:w="225" w:type="dxa"/>
              <w:bottom w:w="225" w:type="dxa"/>
              <w:right w:w="225" w:type="dxa"/>
            </w:tcMar>
            <w:hideMark/>
          </w:tcPr>
          <w:p w14:paraId="1099E38F"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53629</w:t>
            </w:r>
            <w:r w:rsidRPr="00307448">
              <w:rPr>
                <w:rFonts w:ascii="Segoe UI" w:eastAsia="Times New Roman" w:hAnsi="Segoe UI" w:cs="Segoe UI"/>
                <w:kern w:val="0"/>
                <w:sz w:val="22"/>
                <w:szCs w:val="22"/>
                <w:lang w:eastAsia="en-ZA"/>
                <w14:ligatures w14:val="none"/>
              </w:rPr>
              <w:br/>
              <w:t>R.6798</w:t>
            </w:r>
          </w:p>
        </w:tc>
        <w:tc>
          <w:tcPr>
            <w:tcW w:w="6087" w:type="dxa"/>
            <w:tcBorders>
              <w:top w:val="single" w:sz="6" w:space="0" w:color="CCCCCC"/>
              <w:left w:val="single" w:sz="4" w:space="0" w:color="auto"/>
              <w:bottom w:val="single" w:sz="6" w:space="0" w:color="CCCCCC"/>
              <w:right w:val="single" w:sz="4" w:space="0" w:color="auto"/>
            </w:tcBorders>
            <w:shd w:val="clear" w:color="auto" w:fill="F7F7F7"/>
            <w:tcMar>
              <w:top w:w="225" w:type="dxa"/>
              <w:left w:w="225" w:type="dxa"/>
              <w:bottom w:w="225" w:type="dxa"/>
              <w:right w:w="225" w:type="dxa"/>
            </w:tcMar>
            <w:hideMark/>
          </w:tcPr>
          <w:p w14:paraId="7ABB9D4B"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 xml:space="preserve">Amendment to Part 3 of Schedule No. 2, by the substitution of various items under item 260.03, in order to list the rebate items intended to be excluded from the safeguard duty of a rate of 11% on certain hot-rolled </w:t>
            </w:r>
            <w:r w:rsidRPr="00307448">
              <w:rPr>
                <w:rFonts w:ascii="Segoe UI" w:eastAsia="Times New Roman" w:hAnsi="Segoe UI" w:cs="Segoe UI"/>
                <w:kern w:val="0"/>
                <w:sz w:val="22"/>
                <w:szCs w:val="22"/>
                <w:lang w:eastAsia="en-ZA"/>
                <w14:ligatures w14:val="none"/>
              </w:rPr>
              <w:lastRenderedPageBreak/>
              <w:t>steel products, classifiable under Chapter 72 (ITAC Minute M02/2025)</w:t>
            </w:r>
          </w:p>
          <w:p w14:paraId="0A8E36DE" w14:textId="77777777" w:rsidR="007F5369" w:rsidRPr="00307448" w:rsidRDefault="008F4BCD" w:rsidP="007F5369">
            <w:pPr>
              <w:numPr>
                <w:ilvl w:val="0"/>
                <w:numId w:val="18"/>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9" w:history="1">
              <w:r w:rsidR="007F5369" w:rsidRPr="00307448">
                <w:rPr>
                  <w:rFonts w:ascii="Segoe UI" w:eastAsia="Times New Roman" w:hAnsi="Segoe UI" w:cs="Segoe UI"/>
                  <w:kern w:val="0"/>
                  <w:sz w:val="22"/>
                  <w:szCs w:val="22"/>
                  <w:u w:val="single"/>
                  <w:lang w:eastAsia="en-ZA"/>
                  <w14:ligatures w14:val="none"/>
                </w:rPr>
                <w:t>Notice R.6798</w:t>
              </w:r>
            </w:hyperlink>
          </w:p>
        </w:tc>
        <w:tc>
          <w:tcPr>
            <w:tcW w:w="2747" w:type="dxa"/>
            <w:tcBorders>
              <w:top w:val="single" w:sz="6" w:space="0" w:color="CCCCCC"/>
              <w:left w:val="single" w:sz="4" w:space="0" w:color="auto"/>
              <w:bottom w:val="single" w:sz="6" w:space="0" w:color="CCCCCC"/>
              <w:right w:val="single" w:sz="4" w:space="0" w:color="auto"/>
            </w:tcBorders>
            <w:shd w:val="clear" w:color="auto" w:fill="F7F7F7"/>
            <w:tcMar>
              <w:top w:w="225" w:type="dxa"/>
              <w:left w:w="225" w:type="dxa"/>
              <w:bottom w:w="225" w:type="dxa"/>
              <w:right w:w="225" w:type="dxa"/>
            </w:tcMar>
            <w:hideMark/>
          </w:tcPr>
          <w:p w14:paraId="0CDB966D"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With effect from 2 May 2026 up to and including 1 May 2027</w:t>
            </w:r>
          </w:p>
        </w:tc>
      </w:tr>
      <w:tr w:rsidR="007F5369" w:rsidRPr="00307448" w14:paraId="75CC7B9C" w14:textId="77777777" w:rsidTr="007F5369">
        <w:tc>
          <w:tcPr>
            <w:tcW w:w="1736" w:type="dxa"/>
            <w:tcBorders>
              <w:top w:val="single" w:sz="4" w:space="0" w:color="auto"/>
              <w:left w:val="single" w:sz="4" w:space="0" w:color="auto"/>
              <w:bottom w:val="single" w:sz="6" w:space="0" w:color="CCCCCC"/>
              <w:right w:val="single" w:sz="4" w:space="0" w:color="auto"/>
            </w:tcBorders>
            <w:shd w:val="clear" w:color="auto" w:fill="FFFFFF"/>
            <w:tcMar>
              <w:top w:w="225" w:type="dxa"/>
              <w:left w:w="225" w:type="dxa"/>
              <w:bottom w:w="225" w:type="dxa"/>
              <w:right w:w="225" w:type="dxa"/>
            </w:tcMar>
            <w:hideMark/>
          </w:tcPr>
          <w:p w14:paraId="6D516B09"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53629</w:t>
            </w:r>
            <w:r w:rsidRPr="00307448">
              <w:rPr>
                <w:rFonts w:ascii="Segoe UI" w:eastAsia="Times New Roman" w:hAnsi="Segoe UI" w:cs="Segoe UI"/>
                <w:kern w:val="0"/>
                <w:sz w:val="22"/>
                <w:szCs w:val="22"/>
                <w:lang w:eastAsia="en-ZA"/>
                <w14:ligatures w14:val="none"/>
              </w:rPr>
              <w:br/>
              <w:t>R.6799</w:t>
            </w:r>
          </w:p>
        </w:tc>
        <w:tc>
          <w:tcPr>
            <w:tcW w:w="6087" w:type="dxa"/>
            <w:tcBorders>
              <w:top w:val="single" w:sz="4" w:space="0" w:color="auto"/>
              <w:left w:val="single" w:sz="4" w:space="0" w:color="auto"/>
              <w:bottom w:val="single" w:sz="6" w:space="0" w:color="CCCCCC"/>
              <w:right w:val="single" w:sz="4" w:space="0" w:color="auto"/>
            </w:tcBorders>
            <w:shd w:val="clear" w:color="auto" w:fill="FFFFFF"/>
            <w:tcMar>
              <w:top w:w="225" w:type="dxa"/>
              <w:left w:w="225" w:type="dxa"/>
              <w:bottom w:w="225" w:type="dxa"/>
              <w:right w:w="225" w:type="dxa"/>
            </w:tcMar>
            <w:hideMark/>
          </w:tcPr>
          <w:p w14:paraId="67841C4C"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3 of Schedule No. 2, by the substitution of various items under item 260.03, in order to list the rebate items intended to be excluded from the safeguard duty of a rate of 9% on certain hot-rolled steel products, classifiable under Chapter 72 (ITAC Minute M02/2025)</w:t>
            </w:r>
          </w:p>
          <w:p w14:paraId="523E7C54" w14:textId="77777777" w:rsidR="007F5369" w:rsidRPr="00307448" w:rsidRDefault="008F4BCD" w:rsidP="007F5369">
            <w:pPr>
              <w:numPr>
                <w:ilvl w:val="0"/>
                <w:numId w:val="19"/>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0" w:history="1">
              <w:r w:rsidR="007F5369" w:rsidRPr="00307448">
                <w:rPr>
                  <w:rFonts w:ascii="Segoe UI" w:eastAsia="Times New Roman" w:hAnsi="Segoe UI" w:cs="Segoe UI"/>
                  <w:kern w:val="0"/>
                  <w:sz w:val="22"/>
                  <w:szCs w:val="22"/>
                  <w:u w:val="single"/>
                  <w:lang w:eastAsia="en-ZA"/>
                  <w14:ligatures w14:val="none"/>
                </w:rPr>
                <w:t>Notice R.6799</w:t>
              </w:r>
            </w:hyperlink>
          </w:p>
        </w:tc>
        <w:tc>
          <w:tcPr>
            <w:tcW w:w="2747" w:type="dxa"/>
            <w:tcBorders>
              <w:top w:val="single" w:sz="4" w:space="0" w:color="auto"/>
              <w:left w:val="single" w:sz="4" w:space="0" w:color="auto"/>
              <w:bottom w:val="single" w:sz="6" w:space="0" w:color="CCCCCC"/>
              <w:right w:val="single" w:sz="4" w:space="0" w:color="auto"/>
            </w:tcBorders>
            <w:shd w:val="clear" w:color="auto" w:fill="FFFFFF"/>
            <w:tcMar>
              <w:top w:w="225" w:type="dxa"/>
              <w:left w:w="225" w:type="dxa"/>
              <w:bottom w:w="225" w:type="dxa"/>
              <w:right w:w="225" w:type="dxa"/>
            </w:tcMar>
            <w:hideMark/>
          </w:tcPr>
          <w:p w14:paraId="423491DC"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2 May 2027 up to and including 1 May 2028</w:t>
            </w:r>
          </w:p>
        </w:tc>
      </w:tr>
      <w:tr w:rsidR="007F5369" w:rsidRPr="00307448" w14:paraId="61B432BF" w14:textId="77777777" w:rsidTr="007F5369">
        <w:trPr>
          <w:trHeight w:val="5040"/>
        </w:trPr>
        <w:tc>
          <w:tcPr>
            <w:tcW w:w="1736"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7E9AB93"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53606</w:t>
            </w:r>
            <w:r w:rsidRPr="00307448">
              <w:rPr>
                <w:rFonts w:ascii="Segoe UI" w:eastAsia="Times New Roman" w:hAnsi="Segoe UI" w:cs="Segoe UI"/>
                <w:kern w:val="0"/>
                <w:sz w:val="22"/>
                <w:szCs w:val="22"/>
                <w:lang w:eastAsia="en-ZA"/>
                <w14:ligatures w14:val="none"/>
              </w:rPr>
              <w:br/>
              <w:t>R.6783</w:t>
            </w:r>
          </w:p>
        </w:tc>
        <w:tc>
          <w:tcPr>
            <w:tcW w:w="608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A67E4E4"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Imposition of provisional payment in relation to anti-dumping duties against the alleged circumvention of the anti-dumping duties on windscreens for vehicles classifiable under tariff subheading 7007.21.20 originating in or imported from the Peoples Republic of China by importing the windscreens under tariff subheading 8708.22.10 (ITAC Report No. 756)</w:t>
            </w:r>
          </w:p>
          <w:p w14:paraId="7EC4EB65" w14:textId="77777777" w:rsidR="007F5369" w:rsidRPr="00307448" w:rsidRDefault="008F4BCD" w:rsidP="007F5369">
            <w:pPr>
              <w:numPr>
                <w:ilvl w:val="0"/>
                <w:numId w:val="20"/>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1" w:history="1">
              <w:r w:rsidR="007F5369" w:rsidRPr="00307448">
                <w:rPr>
                  <w:rFonts w:ascii="Segoe UI" w:eastAsia="Times New Roman" w:hAnsi="Segoe UI" w:cs="Segoe UI"/>
                  <w:kern w:val="0"/>
                  <w:sz w:val="22"/>
                  <w:szCs w:val="22"/>
                  <w:u w:val="single"/>
                  <w:lang w:eastAsia="en-ZA"/>
                  <w14:ligatures w14:val="none"/>
                </w:rPr>
                <w:t>Notice R.6783</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3878989"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31 October 2025 up to and including 30 April 2026</w:t>
            </w:r>
          </w:p>
        </w:tc>
      </w:tr>
      <w:tr w:rsidR="007F5369" w:rsidRPr="00307448" w14:paraId="57F72680" w14:textId="77777777" w:rsidTr="007F5369">
        <w:trPr>
          <w:trHeight w:val="780"/>
        </w:trPr>
        <w:tc>
          <w:tcPr>
            <w:tcW w:w="1736"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2FBB0BA6"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53600</w:t>
            </w:r>
            <w:r w:rsidRPr="00307448">
              <w:rPr>
                <w:rFonts w:ascii="Segoe UI" w:eastAsia="Times New Roman" w:hAnsi="Segoe UI" w:cs="Segoe UI"/>
                <w:kern w:val="0"/>
                <w:sz w:val="22"/>
                <w:szCs w:val="22"/>
                <w:lang w:eastAsia="en-ZA"/>
                <w14:ligatures w14:val="none"/>
              </w:rPr>
              <w:br/>
              <w:t>R.6768</w:t>
            </w:r>
          </w:p>
        </w:tc>
        <w:tc>
          <w:tcPr>
            <w:tcW w:w="608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5BA9D7F"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Imposition of provisional payment in relation to anti-dumping duties against the alleged circumvention of the anti-dumping duties on windscreens for vehicles, classifiable under tariff subheadings 7007.21.20 and 8708.22.10, through country hopping originating in or imported from the People’s Republic of China via Malaysia (ITAC Report No. 757)</w:t>
            </w:r>
          </w:p>
          <w:p w14:paraId="5338E1D5" w14:textId="77777777" w:rsidR="007F5369" w:rsidRPr="00307448" w:rsidRDefault="008F4BCD" w:rsidP="007F5369">
            <w:pPr>
              <w:numPr>
                <w:ilvl w:val="0"/>
                <w:numId w:val="21"/>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2" w:history="1">
              <w:r w:rsidR="007F5369" w:rsidRPr="00307448">
                <w:rPr>
                  <w:rFonts w:ascii="Segoe UI" w:eastAsia="Times New Roman" w:hAnsi="Segoe UI" w:cs="Segoe UI"/>
                  <w:kern w:val="0"/>
                  <w:sz w:val="22"/>
                  <w:szCs w:val="22"/>
                  <w:u w:val="single"/>
                  <w:lang w:eastAsia="en-ZA"/>
                  <w14:ligatures w14:val="none"/>
                </w:rPr>
                <w:t>Notice R.6768</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483C9A45"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31 October 2025 up to and including 30 April 2026</w:t>
            </w:r>
          </w:p>
        </w:tc>
      </w:tr>
      <w:tr w:rsidR="007F5369" w:rsidRPr="00307448" w14:paraId="25BDF851" w14:textId="77777777" w:rsidTr="007F5369">
        <w:trPr>
          <w:trHeight w:val="3240"/>
        </w:trPr>
        <w:tc>
          <w:tcPr>
            <w:tcW w:w="1736"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BF017C9"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53572</w:t>
            </w:r>
            <w:r w:rsidRPr="00307448">
              <w:rPr>
                <w:rFonts w:ascii="Segoe UI" w:eastAsia="Times New Roman" w:hAnsi="Segoe UI" w:cs="Segoe UI"/>
                <w:kern w:val="0"/>
                <w:sz w:val="22"/>
                <w:szCs w:val="22"/>
                <w:lang w:eastAsia="en-ZA"/>
                <w14:ligatures w14:val="none"/>
              </w:rPr>
              <w:br/>
              <w:t>R.6756</w:t>
            </w:r>
          </w:p>
        </w:tc>
        <w:tc>
          <w:tcPr>
            <w:tcW w:w="608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4CD33DD"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Schedule No. 1, by the substitution of paragraph 1 of General Note O, to include Ethiopia as part of the State Parties in the African Continental Free Trade Area (AfCFTA) Agreement</w:t>
            </w:r>
          </w:p>
          <w:p w14:paraId="2F4B87D1" w14:textId="77777777" w:rsidR="007F5369" w:rsidRPr="00307448" w:rsidRDefault="008F4BCD" w:rsidP="007F5369">
            <w:pPr>
              <w:numPr>
                <w:ilvl w:val="0"/>
                <w:numId w:val="22"/>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3" w:history="1">
              <w:r w:rsidR="007F5369" w:rsidRPr="00307448">
                <w:rPr>
                  <w:rFonts w:ascii="Segoe UI" w:eastAsia="Times New Roman" w:hAnsi="Segoe UI" w:cs="Segoe UI"/>
                  <w:kern w:val="0"/>
                  <w:sz w:val="22"/>
                  <w:szCs w:val="22"/>
                  <w:u w:val="single"/>
                  <w:lang w:eastAsia="en-ZA"/>
                  <w14:ligatures w14:val="none"/>
                </w:rPr>
                <w:t>Notice R.6756</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7FA6314B"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retrospective effect from 14 August 2025</w:t>
            </w:r>
          </w:p>
        </w:tc>
      </w:tr>
      <w:tr w:rsidR="007F5369" w:rsidRPr="00307448" w14:paraId="44671B14" w14:textId="77777777" w:rsidTr="007F5369">
        <w:trPr>
          <w:trHeight w:val="3240"/>
        </w:trPr>
        <w:tc>
          <w:tcPr>
            <w:tcW w:w="1736"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12016E80"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53461</w:t>
            </w:r>
            <w:r w:rsidRPr="00307448">
              <w:rPr>
                <w:rFonts w:ascii="Segoe UI" w:eastAsia="Times New Roman" w:hAnsi="Segoe UI" w:cs="Segoe UI"/>
                <w:kern w:val="0"/>
                <w:sz w:val="22"/>
                <w:szCs w:val="22"/>
                <w:lang w:eastAsia="en-ZA"/>
                <w14:ligatures w14:val="none"/>
              </w:rPr>
              <w:br/>
              <w:t>R.6710</w:t>
            </w:r>
          </w:p>
        </w:tc>
        <w:tc>
          <w:tcPr>
            <w:tcW w:w="608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5BF8E0AB"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1 of Schedule No. 1, by the substitution of various tariff subheadings, to implement the phase down rates of customs duties in terms of the African Continental Free Trade Area (AfCFTA) Agreement</w:t>
            </w:r>
          </w:p>
          <w:p w14:paraId="75CFD47D" w14:textId="77777777" w:rsidR="007F5369" w:rsidRPr="00307448" w:rsidRDefault="008F4BCD" w:rsidP="007F5369">
            <w:pPr>
              <w:numPr>
                <w:ilvl w:val="0"/>
                <w:numId w:val="23"/>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4" w:history="1">
              <w:r w:rsidR="007F5369" w:rsidRPr="00307448">
                <w:rPr>
                  <w:rFonts w:ascii="Segoe UI" w:eastAsia="Times New Roman" w:hAnsi="Segoe UI" w:cs="Segoe UI"/>
                  <w:kern w:val="0"/>
                  <w:sz w:val="22"/>
                  <w:szCs w:val="22"/>
                  <w:u w:val="single"/>
                  <w:lang w:eastAsia="en-ZA"/>
                  <w14:ligatures w14:val="none"/>
                </w:rPr>
                <w:t>Notice R.6710</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4117AD7B"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1 January 2026</w:t>
            </w:r>
          </w:p>
        </w:tc>
      </w:tr>
      <w:tr w:rsidR="007F5369" w:rsidRPr="00307448" w14:paraId="7EC7A10B" w14:textId="77777777" w:rsidTr="007F5369">
        <w:trPr>
          <w:trHeight w:val="2880"/>
        </w:trPr>
        <w:tc>
          <w:tcPr>
            <w:tcW w:w="1736"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43E03A7D"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53461</w:t>
            </w:r>
            <w:r w:rsidRPr="00307448">
              <w:rPr>
                <w:rFonts w:ascii="Segoe UI" w:eastAsia="Times New Roman" w:hAnsi="Segoe UI" w:cs="Segoe UI"/>
                <w:kern w:val="0"/>
                <w:sz w:val="22"/>
                <w:szCs w:val="22"/>
                <w:lang w:eastAsia="en-ZA"/>
                <w14:ligatures w14:val="none"/>
              </w:rPr>
              <w:br/>
              <w:t>R.6709</w:t>
            </w:r>
          </w:p>
        </w:tc>
        <w:tc>
          <w:tcPr>
            <w:tcW w:w="608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0C30A1C8"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1 of Schedule No. 1, to provide for technical amendments, by the insertion of new 8-digit tariff subheadings under Chapters 29, 38, 68, 70, 74 and 83</w:t>
            </w:r>
          </w:p>
          <w:p w14:paraId="40BB3D5D" w14:textId="77777777" w:rsidR="007F5369" w:rsidRPr="00307448" w:rsidRDefault="008F4BCD" w:rsidP="007F5369">
            <w:pPr>
              <w:numPr>
                <w:ilvl w:val="0"/>
                <w:numId w:val="24"/>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5" w:history="1">
              <w:r w:rsidR="007F5369" w:rsidRPr="00307448">
                <w:rPr>
                  <w:rFonts w:ascii="Segoe UI" w:eastAsia="Times New Roman" w:hAnsi="Segoe UI" w:cs="Segoe UI"/>
                  <w:kern w:val="0"/>
                  <w:sz w:val="22"/>
                  <w:szCs w:val="22"/>
                  <w:u w:val="single"/>
                  <w:lang w:eastAsia="en-ZA"/>
                  <w14:ligatures w14:val="none"/>
                </w:rPr>
                <w:t>Notice R.6709</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A2DEC1A"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1 January 2026</w:t>
            </w:r>
          </w:p>
        </w:tc>
      </w:tr>
      <w:tr w:rsidR="007F5369" w:rsidRPr="00307448" w14:paraId="38825EF6" w14:textId="77777777" w:rsidTr="007F5369">
        <w:trPr>
          <w:trHeight w:val="2160"/>
        </w:trPr>
        <w:tc>
          <w:tcPr>
            <w:tcW w:w="1736"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2990B73C"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53461</w:t>
            </w:r>
            <w:r w:rsidRPr="00307448">
              <w:rPr>
                <w:rFonts w:ascii="Segoe UI" w:eastAsia="Times New Roman" w:hAnsi="Segoe UI" w:cs="Segoe UI"/>
                <w:kern w:val="0"/>
                <w:sz w:val="22"/>
                <w:szCs w:val="22"/>
                <w:lang w:eastAsia="en-ZA"/>
                <w14:ligatures w14:val="none"/>
              </w:rPr>
              <w:br/>
              <w:t>R.6711</w:t>
            </w:r>
          </w:p>
        </w:tc>
        <w:tc>
          <w:tcPr>
            <w:tcW w:w="608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2FD251F6"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Schedule No. 2, by the substitution of the heading to include the reference to “Safeguard”</w:t>
            </w:r>
          </w:p>
          <w:p w14:paraId="329F2A0D" w14:textId="77777777" w:rsidR="007F5369" w:rsidRPr="00307448" w:rsidRDefault="008F4BCD" w:rsidP="007F5369">
            <w:pPr>
              <w:numPr>
                <w:ilvl w:val="0"/>
                <w:numId w:val="25"/>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6" w:history="1">
              <w:r w:rsidR="007F5369" w:rsidRPr="00307448">
                <w:rPr>
                  <w:rFonts w:ascii="Segoe UI" w:eastAsia="Times New Roman" w:hAnsi="Segoe UI" w:cs="Segoe UI"/>
                  <w:kern w:val="0"/>
                  <w:sz w:val="22"/>
                  <w:szCs w:val="22"/>
                  <w:u w:val="single"/>
                  <w:lang w:eastAsia="en-ZA"/>
                  <w14:ligatures w14:val="none"/>
                </w:rPr>
                <w:t>Notice R.6711</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1F1D0CD7"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effect from 1 January 2026</w:t>
            </w:r>
          </w:p>
        </w:tc>
      </w:tr>
      <w:tr w:rsidR="007F5369" w:rsidRPr="00307448" w14:paraId="7BB49643" w14:textId="77777777" w:rsidTr="007F5369">
        <w:trPr>
          <w:trHeight w:val="3240"/>
        </w:trPr>
        <w:tc>
          <w:tcPr>
            <w:tcW w:w="1736"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9F3CFC0"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53334</w:t>
            </w:r>
            <w:r w:rsidRPr="00307448">
              <w:rPr>
                <w:rFonts w:ascii="Segoe UI" w:eastAsia="Times New Roman" w:hAnsi="Segoe UI" w:cs="Segoe UI"/>
                <w:kern w:val="0"/>
                <w:sz w:val="22"/>
                <w:szCs w:val="22"/>
                <w:lang w:eastAsia="en-ZA"/>
                <w14:ligatures w14:val="none"/>
              </w:rPr>
              <w:br/>
              <w:t>R.6595</w:t>
            </w:r>
          </w:p>
        </w:tc>
        <w:tc>
          <w:tcPr>
            <w:tcW w:w="608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3975C8D9"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Schedule No. 1, by the substitution of paragraph 1 of General Note O, to include Nigeria as part of the State Parties in the African Continental Free Trade Area (AfCFTA) Agreement</w:t>
            </w:r>
          </w:p>
          <w:p w14:paraId="76A70D56" w14:textId="77777777" w:rsidR="007F5369" w:rsidRPr="00307448" w:rsidRDefault="008F4BCD" w:rsidP="007F5369">
            <w:pPr>
              <w:numPr>
                <w:ilvl w:val="0"/>
                <w:numId w:val="26"/>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7" w:history="1">
              <w:r w:rsidR="007F5369" w:rsidRPr="00307448">
                <w:rPr>
                  <w:rFonts w:ascii="Segoe UI" w:eastAsia="Times New Roman" w:hAnsi="Segoe UI" w:cs="Segoe UI"/>
                  <w:kern w:val="0"/>
                  <w:sz w:val="22"/>
                  <w:szCs w:val="22"/>
                  <w:u w:val="single"/>
                  <w:lang w:eastAsia="en-ZA"/>
                  <w14:ligatures w14:val="none"/>
                </w:rPr>
                <w:t>Notice R.6595</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01B79AA6"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With retrospective effect from 30 May 2025</w:t>
            </w:r>
          </w:p>
        </w:tc>
      </w:tr>
      <w:tr w:rsidR="007F5369" w:rsidRPr="00307448" w14:paraId="0D66D890" w14:textId="77777777" w:rsidTr="007F5369">
        <w:trPr>
          <w:trHeight w:val="3960"/>
        </w:trPr>
        <w:tc>
          <w:tcPr>
            <w:tcW w:w="1736"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A1155EE"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GG 53334</w:t>
            </w:r>
            <w:r w:rsidRPr="00307448">
              <w:rPr>
                <w:rFonts w:ascii="Segoe UI" w:eastAsia="Times New Roman" w:hAnsi="Segoe UI" w:cs="Segoe UI"/>
                <w:kern w:val="0"/>
                <w:sz w:val="22"/>
                <w:szCs w:val="22"/>
                <w:lang w:eastAsia="en-ZA"/>
                <w14:ligatures w14:val="none"/>
              </w:rPr>
              <w:br/>
              <w:t>R.6594</w:t>
            </w:r>
          </w:p>
        </w:tc>
        <w:tc>
          <w:tcPr>
            <w:tcW w:w="608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461A5D48"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Schedule No.1, by the substitution of General Note O.8 as well as the insertion of General Note O.9 in order to suspend the preferential treatment on products classifiable under tariff subheading 0902.40 imported from Kenya under the AfCFTA</w:t>
            </w:r>
          </w:p>
          <w:p w14:paraId="7C797A7B" w14:textId="77777777" w:rsidR="007F5369" w:rsidRPr="00307448" w:rsidRDefault="008F4BCD" w:rsidP="007F5369">
            <w:pPr>
              <w:numPr>
                <w:ilvl w:val="0"/>
                <w:numId w:val="27"/>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8" w:history="1">
              <w:r w:rsidR="007F5369" w:rsidRPr="00307448">
                <w:rPr>
                  <w:rFonts w:ascii="Segoe UI" w:eastAsia="Times New Roman" w:hAnsi="Segoe UI" w:cs="Segoe UI"/>
                  <w:kern w:val="0"/>
                  <w:sz w:val="22"/>
                  <w:szCs w:val="22"/>
                  <w:u w:val="single"/>
                  <w:lang w:eastAsia="en-ZA"/>
                  <w14:ligatures w14:val="none"/>
                </w:rPr>
                <w:t>Notice R.6594</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5B5CAD07"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12 September 2025</w:t>
            </w:r>
          </w:p>
        </w:tc>
      </w:tr>
      <w:tr w:rsidR="007F5369" w:rsidRPr="00307448" w14:paraId="07818CB8" w14:textId="77777777" w:rsidTr="007F5369">
        <w:trPr>
          <w:trHeight w:val="4680"/>
        </w:trPr>
        <w:tc>
          <w:tcPr>
            <w:tcW w:w="1736"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27552615"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53334</w:t>
            </w:r>
            <w:r w:rsidRPr="00307448">
              <w:rPr>
                <w:rFonts w:ascii="Segoe UI" w:eastAsia="Times New Roman" w:hAnsi="Segoe UI" w:cs="Segoe UI"/>
                <w:kern w:val="0"/>
                <w:sz w:val="22"/>
                <w:szCs w:val="22"/>
                <w:lang w:eastAsia="en-ZA"/>
                <w14:ligatures w14:val="none"/>
              </w:rPr>
              <w:br/>
              <w:t>R.6596</w:t>
            </w:r>
          </w:p>
        </w:tc>
        <w:tc>
          <w:tcPr>
            <w:tcW w:w="608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08A2CCA6"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2 of Schedule No. 4, by the insertion of rebate item 460.15/7306.40/01.06 in order to provide for a temporary rebate provision on stainless-steel tubing used in the manufacture and maintenance of state-of-the-art processing plants for the hygienic and liquid food industries (ITAC Report No. 742)</w:t>
            </w:r>
          </w:p>
          <w:p w14:paraId="6891A7B0" w14:textId="77777777" w:rsidR="007F5369" w:rsidRPr="00307448" w:rsidRDefault="008F4BCD" w:rsidP="007F5369">
            <w:pPr>
              <w:numPr>
                <w:ilvl w:val="0"/>
                <w:numId w:val="28"/>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19" w:history="1">
              <w:r w:rsidR="007F5369" w:rsidRPr="00307448">
                <w:rPr>
                  <w:rFonts w:ascii="Segoe UI" w:eastAsia="Times New Roman" w:hAnsi="Segoe UI" w:cs="Segoe UI"/>
                  <w:kern w:val="0"/>
                  <w:sz w:val="22"/>
                  <w:szCs w:val="22"/>
                  <w:u w:val="single"/>
                  <w:lang w:eastAsia="en-ZA"/>
                  <w14:ligatures w14:val="none"/>
                </w:rPr>
                <w:t>Notice R.6596</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36DAEB4C"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12 September 2025</w:t>
            </w:r>
          </w:p>
        </w:tc>
      </w:tr>
      <w:tr w:rsidR="007F5369" w:rsidRPr="00307448" w14:paraId="07DEF2D3" w14:textId="77777777" w:rsidTr="007F5369">
        <w:trPr>
          <w:trHeight w:val="5760"/>
        </w:trPr>
        <w:tc>
          <w:tcPr>
            <w:tcW w:w="1736"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6E236D20"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53334</w:t>
            </w:r>
            <w:r w:rsidRPr="00307448">
              <w:rPr>
                <w:rFonts w:ascii="Segoe UI" w:eastAsia="Times New Roman" w:hAnsi="Segoe UI" w:cs="Segoe UI"/>
                <w:kern w:val="0"/>
                <w:sz w:val="22"/>
                <w:szCs w:val="22"/>
                <w:lang w:eastAsia="en-ZA"/>
                <w14:ligatures w14:val="none"/>
              </w:rPr>
              <w:br/>
              <w:t>R.6597</w:t>
            </w:r>
          </w:p>
        </w:tc>
        <w:tc>
          <w:tcPr>
            <w:tcW w:w="608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601E5743"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Amendment to Part 2 of Schedule No. 4, by the insertion of rebate item 460.06/1516.20.90/01.08 in order to provide for a temporary rebate provision on palm oil, not fractionated, partly of wholly hydrogenated, whether or not refined, but not further prepared, for use in the manufacture of soaps and organic surface-active products and preparations, in the form of bars, cakes, moulded pieces or shapes, classifiable in tariff subheading 3401.1 (ITAC Report No. 739)</w:t>
            </w:r>
          </w:p>
          <w:p w14:paraId="0706A240" w14:textId="77777777" w:rsidR="007F5369" w:rsidRPr="00307448" w:rsidRDefault="008F4BCD" w:rsidP="007F5369">
            <w:pPr>
              <w:numPr>
                <w:ilvl w:val="0"/>
                <w:numId w:val="29"/>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20" w:history="1">
              <w:r w:rsidR="007F5369" w:rsidRPr="00307448">
                <w:rPr>
                  <w:rFonts w:ascii="Segoe UI" w:eastAsia="Times New Roman" w:hAnsi="Segoe UI" w:cs="Segoe UI"/>
                  <w:kern w:val="0"/>
                  <w:sz w:val="22"/>
                  <w:szCs w:val="22"/>
                  <w:u w:val="single"/>
                  <w:lang w:eastAsia="en-ZA"/>
                  <w14:ligatures w14:val="none"/>
                </w:rPr>
                <w:t>Notice R.6597</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248B1CDC"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12 September 2025</w:t>
            </w:r>
          </w:p>
        </w:tc>
      </w:tr>
      <w:tr w:rsidR="007F5369" w:rsidRPr="00307448" w14:paraId="2741A9BD" w14:textId="77777777" w:rsidTr="007F5369">
        <w:trPr>
          <w:trHeight w:val="5760"/>
        </w:trPr>
        <w:tc>
          <w:tcPr>
            <w:tcW w:w="1736"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64975DF1"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lastRenderedPageBreak/>
              <w:t>GG 53241</w:t>
            </w:r>
            <w:r w:rsidRPr="00307448">
              <w:rPr>
                <w:rFonts w:ascii="Segoe UI" w:eastAsia="Times New Roman" w:hAnsi="Segoe UI" w:cs="Segoe UI"/>
                <w:kern w:val="0"/>
                <w:sz w:val="22"/>
                <w:szCs w:val="22"/>
                <w:lang w:eastAsia="en-ZA"/>
                <w14:ligatures w14:val="none"/>
              </w:rPr>
              <w:br/>
              <w:t>R.6550</w:t>
            </w:r>
          </w:p>
        </w:tc>
        <w:tc>
          <w:tcPr>
            <w:tcW w:w="608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DFBCACF"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 xml:space="preserve">Amendment to Part 2 of Schedule No. 4, by the insertion of rebate item 460.06/1511.90.90/01.08 in order to provide for a temporary rebate provision on palm oil, not fractioned, refined, bleached and deodorised, but not chemically modified, for use in the manufacture of soap and organic surface-active products and preparations, in the form of bars, cakes, moulded pieces or shapes, classifiable in tariff subheading </w:t>
            </w:r>
            <w:proofErr w:type="gramStart"/>
            <w:r w:rsidRPr="00307448">
              <w:rPr>
                <w:rFonts w:ascii="Segoe UI" w:eastAsia="Times New Roman" w:hAnsi="Segoe UI" w:cs="Segoe UI"/>
                <w:kern w:val="0"/>
                <w:sz w:val="22"/>
                <w:szCs w:val="22"/>
                <w:lang w:eastAsia="en-ZA"/>
                <w14:ligatures w14:val="none"/>
              </w:rPr>
              <w:t>3401.1  (</w:t>
            </w:r>
            <w:proofErr w:type="gramEnd"/>
            <w:r w:rsidRPr="00307448">
              <w:rPr>
                <w:rFonts w:ascii="Segoe UI" w:eastAsia="Times New Roman" w:hAnsi="Segoe UI" w:cs="Segoe UI"/>
                <w:kern w:val="0"/>
                <w:sz w:val="22"/>
                <w:szCs w:val="22"/>
                <w:lang w:eastAsia="en-ZA"/>
                <w14:ligatures w14:val="none"/>
              </w:rPr>
              <w:t>ITAC Report No. 738)</w:t>
            </w:r>
          </w:p>
          <w:p w14:paraId="5FA01C06" w14:textId="77777777" w:rsidR="007F5369" w:rsidRPr="00307448" w:rsidRDefault="008F4BCD" w:rsidP="007F5369">
            <w:pPr>
              <w:numPr>
                <w:ilvl w:val="0"/>
                <w:numId w:val="30"/>
              </w:numPr>
              <w:spacing w:before="100" w:beforeAutospacing="1" w:after="100" w:afterAutospacing="1" w:line="240" w:lineRule="auto"/>
              <w:textAlignment w:val="baseline"/>
              <w:rPr>
                <w:rFonts w:ascii="Segoe UI" w:eastAsia="Times New Roman" w:hAnsi="Segoe UI" w:cs="Segoe UI"/>
                <w:kern w:val="0"/>
                <w:sz w:val="22"/>
                <w:szCs w:val="22"/>
                <w:lang w:eastAsia="en-ZA"/>
                <w14:ligatures w14:val="none"/>
              </w:rPr>
            </w:pPr>
            <w:hyperlink r:id="rId21" w:history="1">
              <w:r w:rsidR="007F5369" w:rsidRPr="00307448">
                <w:rPr>
                  <w:rFonts w:ascii="Segoe UI" w:eastAsia="Times New Roman" w:hAnsi="Segoe UI" w:cs="Segoe UI"/>
                  <w:kern w:val="0"/>
                  <w:sz w:val="22"/>
                  <w:szCs w:val="22"/>
                  <w:u w:val="single"/>
                  <w:lang w:eastAsia="en-ZA"/>
                  <w14:ligatures w14:val="none"/>
                </w:rPr>
                <w:t>Notice R.6550</w:t>
              </w:r>
            </w:hyperlink>
          </w:p>
        </w:tc>
        <w:tc>
          <w:tcPr>
            <w:tcW w:w="2747"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14:paraId="1C5FEE32" w14:textId="77777777" w:rsidR="007F5369" w:rsidRPr="00307448" w:rsidRDefault="007F5369" w:rsidP="007F5369">
            <w:pPr>
              <w:spacing w:before="100" w:beforeAutospacing="1" w:after="100" w:afterAutospacing="1" w:line="240" w:lineRule="auto"/>
              <w:rPr>
                <w:rFonts w:ascii="Segoe UI" w:eastAsia="Times New Roman" w:hAnsi="Segoe UI" w:cs="Segoe UI"/>
                <w:kern w:val="0"/>
                <w:sz w:val="22"/>
                <w:szCs w:val="22"/>
                <w:lang w:eastAsia="en-ZA"/>
                <w14:ligatures w14:val="none"/>
              </w:rPr>
            </w:pPr>
            <w:r w:rsidRPr="00307448">
              <w:rPr>
                <w:rFonts w:ascii="Segoe UI" w:eastAsia="Times New Roman" w:hAnsi="Segoe UI" w:cs="Segoe UI"/>
                <w:kern w:val="0"/>
                <w:sz w:val="22"/>
                <w:szCs w:val="22"/>
                <w:lang w:eastAsia="en-ZA"/>
                <w14:ligatures w14:val="none"/>
              </w:rPr>
              <w:t>29 August 20</w:t>
            </w:r>
          </w:p>
        </w:tc>
      </w:tr>
    </w:tbl>
    <w:p w14:paraId="41250A74" w14:textId="77777777" w:rsidR="007F5369" w:rsidRPr="00307448" w:rsidRDefault="007F5369"/>
    <w:p w14:paraId="0F9EBCD2" w14:textId="57BE7897" w:rsidR="007F5369" w:rsidRPr="00307448" w:rsidRDefault="007F5369"/>
    <w:p w14:paraId="07149383" w14:textId="07F2FB48" w:rsidR="007F5369" w:rsidRPr="00307448" w:rsidRDefault="007F5369"/>
    <w:sectPr w:rsidR="007F5369" w:rsidRPr="00307448" w:rsidSect="007F5369">
      <w:headerReference w:type="default" r:id="rId22"/>
      <w:footerReference w:type="even" r:id="rId23"/>
      <w:foot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73367" w14:textId="77777777" w:rsidR="008F4BCD" w:rsidRDefault="008F4BCD" w:rsidP="007F5369">
      <w:pPr>
        <w:spacing w:after="0" w:line="240" w:lineRule="auto"/>
      </w:pPr>
      <w:r>
        <w:separator/>
      </w:r>
    </w:p>
  </w:endnote>
  <w:endnote w:type="continuationSeparator" w:id="0">
    <w:p w14:paraId="488F83E5" w14:textId="77777777" w:rsidR="008F4BCD" w:rsidRDefault="008F4BCD" w:rsidP="007F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0013" w14:textId="65ECFA38" w:rsidR="007F5369" w:rsidRDefault="007F5369">
    <w:pPr>
      <w:pStyle w:val="Footer"/>
    </w:pPr>
    <w:r>
      <w:rPr>
        <w:noProof/>
        <w:lang w:val="en-GB" w:eastAsia="en-GB"/>
      </w:rPr>
      <mc:AlternateContent>
        <mc:Choice Requires="wps">
          <w:drawing>
            <wp:anchor distT="0" distB="0" distL="0" distR="0" simplePos="0" relativeHeight="251659264" behindDoc="0" locked="0" layoutInCell="1" allowOverlap="1" wp14:anchorId="4F4817D3" wp14:editId="10702FFE">
              <wp:simplePos x="635" y="635"/>
              <wp:positionH relativeFrom="page">
                <wp:align>left</wp:align>
              </wp:positionH>
              <wp:positionV relativeFrom="page">
                <wp:align>bottom</wp:align>
              </wp:positionV>
              <wp:extent cx="923290" cy="370205"/>
              <wp:effectExtent l="0" t="0" r="10160" b="0"/>
              <wp:wrapNone/>
              <wp:docPr id="1039011194" name="Text Box 2" descr="Internal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923290" cy="370205"/>
                      </a:xfrm>
                      <a:prstGeom prst="rect">
                        <a:avLst/>
                      </a:prstGeom>
                      <a:noFill/>
                      <a:ln>
                        <a:noFill/>
                      </a:ln>
                    </wps:spPr>
                    <wps:txbx>
                      <w:txbxContent>
                        <w:p w14:paraId="0A5F3934" w14:textId="02223DB6" w:rsidR="007F5369" w:rsidRPr="007F5369" w:rsidRDefault="007F5369" w:rsidP="007F5369">
                          <w:pPr>
                            <w:spacing w:after="0"/>
                            <w:rPr>
                              <w:rFonts w:ascii="Calibri" w:eastAsia="Calibri" w:hAnsi="Calibri" w:cs="Calibri"/>
                              <w:noProof/>
                              <w:color w:val="000000"/>
                              <w:sz w:val="20"/>
                              <w:szCs w:val="20"/>
                            </w:rPr>
                          </w:pPr>
                          <w:r w:rsidRPr="007F5369">
                            <w:rPr>
                              <w:rFonts w:ascii="Calibri" w:eastAsia="Calibri" w:hAnsi="Calibri" w:cs="Calibri"/>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4817D3" id="_x0000_t202" coordsize="21600,21600" o:spt="202" path="m,l,21600r21600,l21600,xe">
              <v:stroke joinstyle="miter"/>
              <v:path gradientshapeok="t" o:connecttype="rect"/>
            </v:shapetype>
            <v:shape id="Text Box 2" o:spid="_x0000_s1026" type="#_x0000_t202" alt="Internal Only" style="position:absolute;margin-left:0;margin-top:0;width:72.7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" filled="f" stroked="f">
              <v:textbox style="mso-fit-shape-to-text:t" inset="20pt,0,0,15pt">
                <w:txbxContent>
                  <w:p w14:paraId="0A5F3934" w14:textId="02223DB6" w:rsidR="007F5369" w:rsidRPr="007F5369" w:rsidRDefault="007F5369" w:rsidP="007F5369">
                    <w:pPr>
                      <w:spacing w:after="0"/>
                      <w:rPr>
                        <w:rFonts w:ascii="Calibri" w:eastAsia="Calibri" w:hAnsi="Calibri" w:cs="Calibri"/>
                        <w:noProof/>
                        <w:color w:val="000000"/>
                        <w:sz w:val="20"/>
                        <w:szCs w:val="20"/>
                      </w:rPr>
                    </w:pPr>
                    <w:r w:rsidRPr="007F5369">
                      <w:rPr>
                        <w:rFonts w:ascii="Calibri" w:eastAsia="Calibri" w:hAnsi="Calibri" w:cs="Calibri"/>
                        <w:noProof/>
                        <w:color w:val="000000"/>
                        <w:sz w:val="20"/>
                        <w:szCs w:val="20"/>
                      </w:rPr>
                      <w:t>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9901C" w14:textId="534895EC" w:rsidR="007F5369" w:rsidRDefault="007F5369">
    <w:pPr>
      <w:pStyle w:val="Footer"/>
    </w:pPr>
    <w:r>
      <w:rPr>
        <w:noProof/>
        <w:lang w:val="en-GB" w:eastAsia="en-GB"/>
      </w:rPr>
      <mc:AlternateContent>
        <mc:Choice Requires="wps">
          <w:drawing>
            <wp:anchor distT="0" distB="0" distL="0" distR="0" simplePos="0" relativeHeight="251660288" behindDoc="0" locked="0" layoutInCell="1" allowOverlap="1" wp14:anchorId="22AC5AE6" wp14:editId="29B37522">
              <wp:simplePos x="914400" y="6926580"/>
              <wp:positionH relativeFrom="page">
                <wp:align>left</wp:align>
              </wp:positionH>
              <wp:positionV relativeFrom="page">
                <wp:align>bottom</wp:align>
              </wp:positionV>
              <wp:extent cx="923290" cy="370205"/>
              <wp:effectExtent l="0" t="0" r="10160" b="0"/>
              <wp:wrapNone/>
              <wp:docPr id="958066832" name="Text Box 3" descr="Internal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923290" cy="370205"/>
                      </a:xfrm>
                      <a:prstGeom prst="rect">
                        <a:avLst/>
                      </a:prstGeom>
                      <a:noFill/>
                      <a:ln>
                        <a:noFill/>
                      </a:ln>
                    </wps:spPr>
                    <wps:txbx>
                      <w:txbxContent>
                        <w:p w14:paraId="742484C1" w14:textId="3805D826" w:rsidR="007F5369" w:rsidRPr="007F5369" w:rsidRDefault="007F5369" w:rsidP="007F5369">
                          <w:pPr>
                            <w:spacing w:after="0"/>
                            <w:rPr>
                              <w:rFonts w:ascii="Calibri" w:eastAsia="Calibri" w:hAnsi="Calibri" w:cs="Calibri"/>
                              <w:noProof/>
                              <w:color w:val="000000"/>
                              <w:sz w:val="20"/>
                              <w:szCs w:val="20"/>
                            </w:rPr>
                          </w:pPr>
                          <w:r w:rsidRPr="007F5369">
                            <w:rPr>
                              <w:rFonts w:ascii="Calibri" w:eastAsia="Calibri" w:hAnsi="Calibri" w:cs="Calibri"/>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AC5AE6" id="_x0000_t202" coordsize="21600,21600" o:spt="202" path="m,l,21600r21600,l21600,xe">
              <v:stroke joinstyle="miter"/>
              <v:path gradientshapeok="t" o:connecttype="rect"/>
            </v:shapetype>
            <v:shape id="Text Box 3" o:spid="_x0000_s1027" type="#_x0000_t202" alt="Internal Only" style="position:absolute;margin-left:0;margin-top:0;width:72.7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" filled="f" stroked="f">
              <v:textbox style="mso-fit-shape-to-text:t" inset="20pt,0,0,15pt">
                <w:txbxContent>
                  <w:p w14:paraId="742484C1" w14:textId="3805D826" w:rsidR="007F5369" w:rsidRPr="007F5369" w:rsidRDefault="007F5369" w:rsidP="007F5369">
                    <w:pPr>
                      <w:spacing w:after="0"/>
                      <w:rPr>
                        <w:rFonts w:ascii="Calibri" w:eastAsia="Calibri" w:hAnsi="Calibri" w:cs="Calibri"/>
                        <w:noProof/>
                        <w:color w:val="000000"/>
                        <w:sz w:val="20"/>
                        <w:szCs w:val="20"/>
                      </w:rPr>
                    </w:pPr>
                    <w:r w:rsidRPr="007F5369">
                      <w:rPr>
                        <w:rFonts w:ascii="Calibri" w:eastAsia="Calibri" w:hAnsi="Calibri" w:cs="Calibri"/>
                        <w:noProof/>
                        <w:color w:val="000000"/>
                        <w:sz w:val="20"/>
                        <w:szCs w:val="20"/>
                      </w:rPr>
                      <w:t>Internal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F7C8" w14:textId="12375397" w:rsidR="007F5369" w:rsidRDefault="007F5369">
    <w:pPr>
      <w:pStyle w:val="Footer"/>
    </w:pPr>
    <w:r>
      <w:rPr>
        <w:noProof/>
        <w:lang w:val="en-GB" w:eastAsia="en-GB"/>
      </w:rPr>
      <mc:AlternateContent>
        <mc:Choice Requires="wps">
          <w:drawing>
            <wp:anchor distT="0" distB="0" distL="0" distR="0" simplePos="0" relativeHeight="251658240" behindDoc="0" locked="0" layoutInCell="1" allowOverlap="1" wp14:anchorId="6F8E8EBC" wp14:editId="1F39D24B">
              <wp:simplePos x="635" y="635"/>
              <wp:positionH relativeFrom="page">
                <wp:align>left</wp:align>
              </wp:positionH>
              <wp:positionV relativeFrom="page">
                <wp:align>bottom</wp:align>
              </wp:positionV>
              <wp:extent cx="923290" cy="370205"/>
              <wp:effectExtent l="0" t="0" r="10160" b="0"/>
              <wp:wrapNone/>
              <wp:docPr id="1439793296" name="Text Box 1" descr="Internal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923290" cy="370205"/>
                      </a:xfrm>
                      <a:prstGeom prst="rect">
                        <a:avLst/>
                      </a:prstGeom>
                      <a:noFill/>
                      <a:ln>
                        <a:noFill/>
                      </a:ln>
                    </wps:spPr>
                    <wps:txbx>
                      <w:txbxContent>
                        <w:p w14:paraId="4D9710A6" w14:textId="3766808E" w:rsidR="007F5369" w:rsidRPr="007F5369" w:rsidRDefault="007F5369" w:rsidP="007F5369">
                          <w:pPr>
                            <w:spacing w:after="0"/>
                            <w:rPr>
                              <w:rFonts w:ascii="Calibri" w:eastAsia="Calibri" w:hAnsi="Calibri" w:cs="Calibri"/>
                              <w:noProof/>
                              <w:color w:val="000000"/>
                              <w:sz w:val="20"/>
                              <w:szCs w:val="20"/>
                            </w:rPr>
                          </w:pPr>
                          <w:r w:rsidRPr="007F5369">
                            <w:rPr>
                              <w:rFonts w:ascii="Calibri" w:eastAsia="Calibri" w:hAnsi="Calibri" w:cs="Calibri"/>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8E8EBC" id="_x0000_t202" coordsize="21600,21600" o:spt="202" path="m,l,21600r21600,l21600,xe">
              <v:stroke joinstyle="miter"/>
              <v:path gradientshapeok="t" o:connecttype="rect"/>
            </v:shapetype>
            <v:shape id="Text Box 1" o:spid="_x0000_s1028" type="#_x0000_t202" alt="Internal Only" style="position:absolute;margin-left:0;margin-top:0;width:72.7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" filled="f" stroked="f">
              <v:textbox style="mso-fit-shape-to-text:t" inset="20pt,0,0,15pt">
                <w:txbxContent>
                  <w:p w14:paraId="4D9710A6" w14:textId="3766808E" w:rsidR="007F5369" w:rsidRPr="007F5369" w:rsidRDefault="007F5369" w:rsidP="007F5369">
                    <w:pPr>
                      <w:spacing w:after="0"/>
                      <w:rPr>
                        <w:rFonts w:ascii="Calibri" w:eastAsia="Calibri" w:hAnsi="Calibri" w:cs="Calibri"/>
                        <w:noProof/>
                        <w:color w:val="000000"/>
                        <w:sz w:val="20"/>
                        <w:szCs w:val="20"/>
                      </w:rPr>
                    </w:pPr>
                    <w:r w:rsidRPr="007F5369">
                      <w:rPr>
                        <w:rFonts w:ascii="Calibri" w:eastAsia="Calibri" w:hAnsi="Calibri" w:cs="Calibri"/>
                        <w:noProof/>
                        <w:color w:val="000000"/>
                        <w:sz w:val="20"/>
                        <w:szCs w:val="20"/>
                      </w:rPr>
                      <w:t>Internal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89E2D" w14:textId="77777777" w:rsidR="008F4BCD" w:rsidRDefault="008F4BCD" w:rsidP="007F5369">
      <w:pPr>
        <w:spacing w:after="0" w:line="240" w:lineRule="auto"/>
      </w:pPr>
      <w:r>
        <w:separator/>
      </w:r>
    </w:p>
  </w:footnote>
  <w:footnote w:type="continuationSeparator" w:id="0">
    <w:p w14:paraId="111109F2" w14:textId="77777777" w:rsidR="008F4BCD" w:rsidRDefault="008F4BCD" w:rsidP="007F5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2936" w14:textId="2E7AE5FA" w:rsidR="007F5369" w:rsidRPr="007F5369" w:rsidRDefault="007F5369">
    <w:pPr>
      <w:pStyle w:val="Header"/>
      <w:rPr>
        <w:b/>
        <w:bCs/>
        <w:lang w:val="en-GB"/>
      </w:rPr>
    </w:pPr>
    <w:r w:rsidRPr="007F5369">
      <w:rPr>
        <w:b/>
        <w:bCs/>
        <w:lang w:val="en-GB"/>
      </w:rPr>
      <w:t xml:space="preserve">Tariff Amendments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D7B"/>
    <w:multiLevelType w:val="multilevel"/>
    <w:tmpl w:val="FB86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4948"/>
    <w:multiLevelType w:val="multilevel"/>
    <w:tmpl w:val="308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4A68"/>
    <w:multiLevelType w:val="multilevel"/>
    <w:tmpl w:val="61CE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5ECE"/>
    <w:multiLevelType w:val="multilevel"/>
    <w:tmpl w:val="C34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1531"/>
    <w:multiLevelType w:val="multilevel"/>
    <w:tmpl w:val="709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05091"/>
    <w:multiLevelType w:val="multilevel"/>
    <w:tmpl w:val="3C7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5DA9"/>
    <w:multiLevelType w:val="multilevel"/>
    <w:tmpl w:val="D63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901A2"/>
    <w:multiLevelType w:val="multilevel"/>
    <w:tmpl w:val="8E62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04FD0"/>
    <w:multiLevelType w:val="multilevel"/>
    <w:tmpl w:val="588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61F0C"/>
    <w:multiLevelType w:val="multilevel"/>
    <w:tmpl w:val="94D8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F34A5"/>
    <w:multiLevelType w:val="multilevel"/>
    <w:tmpl w:val="A7A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9672E"/>
    <w:multiLevelType w:val="multilevel"/>
    <w:tmpl w:val="4F0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760F6"/>
    <w:multiLevelType w:val="multilevel"/>
    <w:tmpl w:val="0E9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612C5"/>
    <w:multiLevelType w:val="multilevel"/>
    <w:tmpl w:val="A37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E51E5"/>
    <w:multiLevelType w:val="multilevel"/>
    <w:tmpl w:val="F59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F0937"/>
    <w:multiLevelType w:val="multilevel"/>
    <w:tmpl w:val="439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43790"/>
    <w:multiLevelType w:val="multilevel"/>
    <w:tmpl w:val="7DFA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070B7"/>
    <w:multiLevelType w:val="multilevel"/>
    <w:tmpl w:val="F54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864EF"/>
    <w:multiLevelType w:val="multilevel"/>
    <w:tmpl w:val="BFA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E32FB"/>
    <w:multiLevelType w:val="multilevel"/>
    <w:tmpl w:val="E370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0460F"/>
    <w:multiLevelType w:val="multilevel"/>
    <w:tmpl w:val="F472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354C5"/>
    <w:multiLevelType w:val="multilevel"/>
    <w:tmpl w:val="A3C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42D71"/>
    <w:multiLevelType w:val="multilevel"/>
    <w:tmpl w:val="1B8A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D68A4"/>
    <w:multiLevelType w:val="multilevel"/>
    <w:tmpl w:val="42A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7017E"/>
    <w:multiLevelType w:val="multilevel"/>
    <w:tmpl w:val="F762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1057B"/>
    <w:multiLevelType w:val="multilevel"/>
    <w:tmpl w:val="F512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444142"/>
    <w:multiLevelType w:val="multilevel"/>
    <w:tmpl w:val="860E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671FC"/>
    <w:multiLevelType w:val="multilevel"/>
    <w:tmpl w:val="2CCA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135D46"/>
    <w:multiLevelType w:val="multilevel"/>
    <w:tmpl w:val="308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927B8"/>
    <w:multiLevelType w:val="multilevel"/>
    <w:tmpl w:val="EB2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16"/>
  </w:num>
  <w:num w:numId="4">
    <w:abstractNumId w:val="9"/>
  </w:num>
  <w:num w:numId="5">
    <w:abstractNumId w:val="5"/>
  </w:num>
  <w:num w:numId="6">
    <w:abstractNumId w:val="14"/>
  </w:num>
  <w:num w:numId="7">
    <w:abstractNumId w:val="6"/>
  </w:num>
  <w:num w:numId="8">
    <w:abstractNumId w:val="11"/>
  </w:num>
  <w:num w:numId="9">
    <w:abstractNumId w:val="7"/>
  </w:num>
  <w:num w:numId="10">
    <w:abstractNumId w:val="29"/>
  </w:num>
  <w:num w:numId="11">
    <w:abstractNumId w:val="24"/>
  </w:num>
  <w:num w:numId="12">
    <w:abstractNumId w:val="13"/>
  </w:num>
  <w:num w:numId="13">
    <w:abstractNumId w:val="27"/>
  </w:num>
  <w:num w:numId="14">
    <w:abstractNumId w:val="22"/>
  </w:num>
  <w:num w:numId="15">
    <w:abstractNumId w:val="18"/>
  </w:num>
  <w:num w:numId="16">
    <w:abstractNumId w:val="21"/>
  </w:num>
  <w:num w:numId="17">
    <w:abstractNumId w:val="17"/>
  </w:num>
  <w:num w:numId="18">
    <w:abstractNumId w:val="12"/>
  </w:num>
  <w:num w:numId="19">
    <w:abstractNumId w:val="15"/>
  </w:num>
  <w:num w:numId="20">
    <w:abstractNumId w:val="10"/>
  </w:num>
  <w:num w:numId="21">
    <w:abstractNumId w:val="8"/>
  </w:num>
  <w:num w:numId="22">
    <w:abstractNumId w:val="4"/>
  </w:num>
  <w:num w:numId="23">
    <w:abstractNumId w:val="28"/>
  </w:num>
  <w:num w:numId="24">
    <w:abstractNumId w:val="3"/>
  </w:num>
  <w:num w:numId="25">
    <w:abstractNumId w:val="26"/>
  </w:num>
  <w:num w:numId="26">
    <w:abstractNumId w:val="23"/>
  </w:num>
  <w:num w:numId="27">
    <w:abstractNumId w:val="25"/>
  </w:num>
  <w:num w:numId="28">
    <w:abstractNumId w:val="2"/>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69"/>
    <w:rsid w:val="000F03CF"/>
    <w:rsid w:val="002B09D9"/>
    <w:rsid w:val="00307448"/>
    <w:rsid w:val="00550E21"/>
    <w:rsid w:val="007F5369"/>
    <w:rsid w:val="00821202"/>
    <w:rsid w:val="008F4BCD"/>
    <w:rsid w:val="00A04C9C"/>
    <w:rsid w:val="00E36E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88C0"/>
  <w15:chartTrackingRefBased/>
  <w15:docId w15:val="{764A0544-1D16-4AB2-B4DE-70B67A5B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5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369"/>
    <w:rPr>
      <w:rFonts w:eastAsiaTheme="majorEastAsia" w:cstheme="majorBidi"/>
      <w:color w:val="272727" w:themeColor="text1" w:themeTint="D8"/>
    </w:rPr>
  </w:style>
  <w:style w:type="paragraph" w:styleId="Title">
    <w:name w:val="Title"/>
    <w:basedOn w:val="Normal"/>
    <w:next w:val="Normal"/>
    <w:link w:val="TitleChar"/>
    <w:uiPriority w:val="10"/>
    <w:qFormat/>
    <w:rsid w:val="007F5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369"/>
    <w:pPr>
      <w:spacing w:before="160"/>
      <w:jc w:val="center"/>
    </w:pPr>
    <w:rPr>
      <w:i/>
      <w:iCs/>
      <w:color w:val="404040" w:themeColor="text1" w:themeTint="BF"/>
    </w:rPr>
  </w:style>
  <w:style w:type="character" w:customStyle="1" w:styleId="QuoteChar">
    <w:name w:val="Quote Char"/>
    <w:basedOn w:val="DefaultParagraphFont"/>
    <w:link w:val="Quote"/>
    <w:uiPriority w:val="29"/>
    <w:rsid w:val="007F5369"/>
    <w:rPr>
      <w:i/>
      <w:iCs/>
      <w:color w:val="404040" w:themeColor="text1" w:themeTint="BF"/>
    </w:rPr>
  </w:style>
  <w:style w:type="paragraph" w:styleId="ListParagraph">
    <w:name w:val="List Paragraph"/>
    <w:basedOn w:val="Normal"/>
    <w:uiPriority w:val="34"/>
    <w:qFormat/>
    <w:rsid w:val="007F5369"/>
    <w:pPr>
      <w:ind w:left="720"/>
      <w:contextualSpacing/>
    </w:pPr>
  </w:style>
  <w:style w:type="character" w:styleId="IntenseEmphasis">
    <w:name w:val="Intense Emphasis"/>
    <w:basedOn w:val="DefaultParagraphFont"/>
    <w:uiPriority w:val="21"/>
    <w:qFormat/>
    <w:rsid w:val="007F5369"/>
    <w:rPr>
      <w:i/>
      <w:iCs/>
      <w:color w:val="0F4761" w:themeColor="accent1" w:themeShade="BF"/>
    </w:rPr>
  </w:style>
  <w:style w:type="paragraph" w:styleId="IntenseQuote">
    <w:name w:val="Intense Quote"/>
    <w:basedOn w:val="Normal"/>
    <w:next w:val="Normal"/>
    <w:link w:val="IntenseQuoteChar"/>
    <w:uiPriority w:val="30"/>
    <w:qFormat/>
    <w:rsid w:val="007F5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369"/>
    <w:rPr>
      <w:i/>
      <w:iCs/>
      <w:color w:val="0F4761" w:themeColor="accent1" w:themeShade="BF"/>
    </w:rPr>
  </w:style>
  <w:style w:type="character" w:styleId="IntenseReference">
    <w:name w:val="Intense Reference"/>
    <w:basedOn w:val="DefaultParagraphFont"/>
    <w:uiPriority w:val="32"/>
    <w:qFormat/>
    <w:rsid w:val="007F5369"/>
    <w:rPr>
      <w:b/>
      <w:bCs/>
      <w:smallCaps/>
      <w:color w:val="0F4761" w:themeColor="accent1" w:themeShade="BF"/>
      <w:spacing w:val="5"/>
    </w:rPr>
  </w:style>
  <w:style w:type="paragraph" w:styleId="Header">
    <w:name w:val="header"/>
    <w:basedOn w:val="Normal"/>
    <w:link w:val="HeaderChar"/>
    <w:uiPriority w:val="99"/>
    <w:unhideWhenUsed/>
    <w:rsid w:val="007F5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369"/>
  </w:style>
  <w:style w:type="paragraph" w:styleId="Footer">
    <w:name w:val="footer"/>
    <w:basedOn w:val="Normal"/>
    <w:link w:val="FooterChar"/>
    <w:uiPriority w:val="99"/>
    <w:unhideWhenUsed/>
    <w:rsid w:val="007F5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31801">
      <w:bodyDiv w:val="1"/>
      <w:marLeft w:val="0"/>
      <w:marRight w:val="0"/>
      <w:marTop w:val="0"/>
      <w:marBottom w:val="0"/>
      <w:divBdr>
        <w:top w:val="none" w:sz="0" w:space="0" w:color="auto"/>
        <w:left w:val="none" w:sz="0" w:space="0" w:color="auto"/>
        <w:bottom w:val="none" w:sz="0" w:space="0" w:color="auto"/>
        <w:right w:val="none" w:sz="0" w:space="0" w:color="auto"/>
      </w:divBdr>
    </w:div>
    <w:div w:id="20498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legal-lsec-ce-ta-2025-53-r6797-gg-53629-sch-2p3-2-3-83-safeguard-hot-rolled-steel-ch-72-13-per-cent-itac-minute-02-2025-y1-7-nov-2025/" TargetMode="External"/><Relationship Id="rId13" Type="http://schemas.openxmlformats.org/officeDocument/2006/relationships/hyperlink" Target="https://www.sars.gov.za/legal-lsec-ce-ta-2025-50-r6756-gg-53572-sch-1-1-1963-inclusion-ethiopia-afcfta-24-october-2025/" TargetMode="External"/><Relationship Id="rId18" Type="http://schemas.openxmlformats.org/officeDocument/2006/relationships/hyperlink" Target="https://www.sars.gov.za/legal-lsec-ce-ta-2025-45-r6594-gg-53334-sch-1-1-1959-suspend-preferential-treatment-on-tea-products-imported-kenya-afcfta-12-september-20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ars.gov.za/legal-lsec-ce-ta-2025-42-r6550-gg-53241-sch-4p2-4-2-406-palm-oil-itac-report-738-29-august-2025/" TargetMode="External"/><Relationship Id="rId7" Type="http://schemas.openxmlformats.org/officeDocument/2006/relationships/hyperlink" Target="https://www.sars.gov.za/legal-lsec-ce-ta-2025-56-r6796-gg-53629-sch-1p2a-1-2a-166-amendments-sch-1p1-provide-technical-amendments-published-3-oct-2025-7-nov-2025/" TargetMode="External"/><Relationship Id="rId12" Type="http://schemas.openxmlformats.org/officeDocument/2006/relationships/hyperlink" Target="https://www.sars.gov.za/legal-lsec-ce-ta-2025-51-r6768-gg-53600-pp-pp-176-anti-dumping-duties-windscreens-31-oct-2025-to-30-apr-2026-itac-757-31-october-2025/" TargetMode="External"/><Relationship Id="rId17" Type="http://schemas.openxmlformats.org/officeDocument/2006/relationships/hyperlink" Target="https://www.sars.gov.za/legal-lsec-ce-ta-2025-46-r6595-gg-53334-sch-1-1-1960-inclusion-of-nigeria-in-the-state-parties-in-the-afcfta-12-september-202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ars.gov.za/legal-lsec-ce-ta-2025-47-r6711-gg-53461-sch-2-2-83-technical-substitute-heading-include-reference-safeguard-3-october-2025/" TargetMode="External"/><Relationship Id="rId20" Type="http://schemas.openxmlformats.org/officeDocument/2006/relationships/hyperlink" Target="https://www.sars.gov.za/legal-lsec-ce-ta-2025-43-r6597-gg-53334-sch-4p2-4-2-408-temporary-rebate-on-palm-oil-itac-report-739-12-september-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s.gov.za/legal-lsec-ce-ta-2025-52-r6783-gg-53606-pp-pp-177-anti-dumping-duties-windscreens-31-oct-2025-to-30-apr-2026-itac-756-31-october-202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ars.gov.za/legal-lsec-ce-ta-2025-48-r6709-gg-53461-sch-1p1-1-1-1961-technical-new-subheading-under-chpt-29-38-68-70-74-83-3-october-2025/" TargetMode="External"/><Relationship Id="rId23" Type="http://schemas.openxmlformats.org/officeDocument/2006/relationships/footer" Target="footer1.xml"/><Relationship Id="rId10" Type="http://schemas.openxmlformats.org/officeDocument/2006/relationships/hyperlink" Target="https://www.sars.gov.za/legal-lsec-ce-ta-2025-55-r6799-gg-53629-sch-2p3-2-3-85-safeguard-hot-rolled-steel-ch-72-9-per-cent-itac-minute-m02-2025-y3-7-nov-2025/" TargetMode="External"/><Relationship Id="rId19" Type="http://schemas.openxmlformats.org/officeDocument/2006/relationships/hyperlink" Target="https://www.sars.gov.za/legal-lsec-ce-ta-2025-44-r6596-gg-53334-sch-4p2-4-2-407-temporary-rebate-on-stainless-steel-tubing-itac-report-742-12-september-2025/" TargetMode="External"/><Relationship Id="rId4" Type="http://schemas.openxmlformats.org/officeDocument/2006/relationships/webSettings" Target="webSettings.xml"/><Relationship Id="rId9" Type="http://schemas.openxmlformats.org/officeDocument/2006/relationships/hyperlink" Target="https://www.sars.gov.za/legal-lsec-ce-ta-2025-54-r6798-gg-53629-sch-2p3-2-3-84-safeguard-hot-rolled-steel-ch-72-11-per-cent-itac-minute-m02-2025-y2-7-nov-2025/" TargetMode="External"/><Relationship Id="rId14" Type="http://schemas.openxmlformats.org/officeDocument/2006/relationships/hyperlink" Target="https://www.sars.gov.za/legal-lsec-ce-ta-2025-49-r6710-gg-53461-sch-1p1-1-1-1962-implement-phase-down-rates-of-customs-duties-ito-afcfta-3-october-2025/"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fde773-b166-407b-b190-c73226f27306}" enabled="1" method="Standard" siteId="{bc71b4e0-246d-4b7c-97f5-c07787fb1a8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Sihlongonyane Thulisile P.</dc:creator>
  <cp:keywords/>
  <dc:description/>
  <cp:lastModifiedBy>Khetsiwe</cp:lastModifiedBy>
  <cp:revision>2</cp:revision>
  <dcterms:created xsi:type="dcterms:W3CDTF">2026-01-22T13:42:00Z</dcterms:created>
  <dcterms:modified xsi:type="dcterms:W3CDTF">2026-01-22T13:42:00Z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55d18090,3dee0d7a,391af090</vt:lpwstr>
  </property>
  <property fmtid="{D5CDD505-2E9C-101B-9397-08002B2CF9AE}" pid="3" name="ClassificationContentMarkingFooterFontProps">
    <vt:lpwstr>#000000,10,Calibri</vt:lpwstr>
  </property>
  <property fmtid="{D5CDD505-2E9C-101B-9397-08002B2CF9AE}" pid="4" name="ClassificationContentMarkingFooterText">
    <vt:lpwstr>Internal Only</vt:lpwstr>
  </property>
</Properties>
</file>